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  <w:t>C</w:t>
      </w:r>
      <w:r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  <w:t>â</w:t>
      </w:r>
      <w:r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  <w:t>teau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Welcome to the C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â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teau, a contemporary take on play that satisfies your feline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need for power and comfort. C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>â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teau parallels with your home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natural interior and allows for compacted storage and easy stow away when needed.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